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6FBE" w14:textId="77777777"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2F4F06">
        <w:rPr>
          <w:b/>
          <w:sz w:val="20"/>
          <w:szCs w:val="20"/>
          <w:u w:val="single"/>
        </w:rPr>
        <w:t>Profesores de Chañaral y otras Municipalidades</w:t>
      </w:r>
      <w:r w:rsidR="00CF7246" w:rsidRPr="00B32A37">
        <w:rPr>
          <w:b/>
          <w:i/>
          <w:sz w:val="20"/>
          <w:szCs w:val="20"/>
          <w:u w:val="single"/>
          <w:lang w:val="es-CR"/>
        </w:rPr>
        <w:t xml:space="preserve"> </w:t>
      </w:r>
      <w:r w:rsidRPr="00B32A37">
        <w:rPr>
          <w:b/>
          <w:i/>
          <w:sz w:val="20"/>
          <w:szCs w:val="20"/>
          <w:u w:val="single"/>
          <w:lang w:val="es-CR"/>
        </w:rPr>
        <w:t xml:space="preserve">Vs. </w:t>
      </w:r>
      <w:r w:rsidR="00750BE1">
        <w:rPr>
          <w:b/>
          <w:sz w:val="20"/>
          <w:szCs w:val="20"/>
          <w:u w:val="single"/>
          <w:lang w:val="es-MX"/>
        </w:rPr>
        <w:t>Chile</w:t>
      </w:r>
      <w:r w:rsidRPr="00296F77">
        <w:rPr>
          <w:b/>
          <w:sz w:val="20"/>
          <w:szCs w:val="20"/>
          <w:u w:val="single"/>
          <w:lang w:val="es-MX"/>
        </w:rPr>
        <w:t>: reparaciones pendientes de cumplimiento</w:t>
      </w:r>
    </w:p>
    <w:p w14:paraId="0CFBB7EC" w14:textId="77777777" w:rsidR="00892017" w:rsidRPr="00296F77" w:rsidRDefault="00892017"/>
    <w:p w14:paraId="2FCBA1CA" w14:textId="77777777" w:rsidR="00296F77" w:rsidRDefault="00296F77" w:rsidP="00296F77">
      <w:pPr>
        <w:tabs>
          <w:tab w:val="left" w:pos="709"/>
        </w:tabs>
        <w:ind w:right="99"/>
        <w:jc w:val="both"/>
      </w:pPr>
    </w:p>
    <w:p w14:paraId="190D630E" w14:textId="77777777" w:rsidR="002F4F06" w:rsidRPr="002F4F06" w:rsidRDefault="002F4F06" w:rsidP="00750BE1">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Ll</w:t>
      </w:r>
      <w:proofErr w:type="spellStart"/>
      <w:r>
        <w:rPr>
          <w:rFonts w:eastAsia="Cambria" w:cs="Times New Roman"/>
          <w:bCs/>
          <w:sz w:val="20"/>
          <w:szCs w:val="20"/>
        </w:rPr>
        <w:t>evar</w:t>
      </w:r>
      <w:proofErr w:type="spellEnd"/>
      <w:r w:rsidRPr="002F4F06">
        <w:rPr>
          <w:rFonts w:eastAsia="Cambria" w:cs="Times New Roman"/>
          <w:bCs/>
          <w:sz w:val="20"/>
          <w:szCs w:val="20"/>
        </w:rPr>
        <w:t xml:space="preserve"> a cabo un acto público de reconocimiento de responsabilidad internacional en los términos fijados en el párrafo 215 de la presente Sentencia.</w:t>
      </w:r>
    </w:p>
    <w:p w14:paraId="319DCB0E" w14:textId="77777777" w:rsidR="002F4F06" w:rsidRPr="00892017" w:rsidRDefault="002F4F06" w:rsidP="006772A5">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C</w:t>
      </w:r>
      <w:proofErr w:type="spellStart"/>
      <w:r>
        <w:rPr>
          <w:rFonts w:eastAsia="Cambria" w:cs="Times New Roman"/>
          <w:bCs/>
          <w:sz w:val="20"/>
          <w:szCs w:val="20"/>
        </w:rPr>
        <w:t>rear</w:t>
      </w:r>
      <w:proofErr w:type="spellEnd"/>
      <w:r>
        <w:rPr>
          <w:rFonts w:eastAsia="Cambria" w:cs="Times New Roman"/>
          <w:bCs/>
          <w:sz w:val="20"/>
          <w:szCs w:val="20"/>
        </w:rPr>
        <w:t xml:space="preserve"> e implementar</w:t>
      </w:r>
      <w:r w:rsidRPr="002F4F06">
        <w:rPr>
          <w:rFonts w:eastAsia="Cambria" w:cs="Times New Roman"/>
          <w:bCs/>
          <w:sz w:val="20"/>
          <w:szCs w:val="20"/>
        </w:rPr>
        <w:t>, en el plazo de un año, un plan de capacitación y sensibilización a los operadores judiciales sobre el acceso a la justicia de las personas mayores en los términos del párrafo 216 de la presente Sentencia.</w:t>
      </w:r>
    </w:p>
    <w:p w14:paraId="2EE11C24" w14:textId="77777777" w:rsidR="00892017" w:rsidRPr="002F4F06" w:rsidRDefault="00892017" w:rsidP="00892017">
      <w:pPr>
        <w:pStyle w:val="ListParagraph"/>
        <w:tabs>
          <w:tab w:val="left" w:pos="720"/>
        </w:tabs>
        <w:spacing w:after="240"/>
        <w:ind w:left="0" w:right="-90"/>
        <w:contextualSpacing w:val="0"/>
        <w:jc w:val="both"/>
        <w:rPr>
          <w:rFonts w:eastAsia="Cambria" w:cs="Times New Roman"/>
          <w:bCs/>
          <w:sz w:val="20"/>
          <w:szCs w:val="20"/>
          <w:lang w:val="es-ES"/>
        </w:rPr>
      </w:pPr>
    </w:p>
    <w:p w14:paraId="0BF284C3" w14:textId="77777777" w:rsidR="00892017" w:rsidRDefault="00892017" w:rsidP="00892017">
      <w:pPr>
        <w:tabs>
          <w:tab w:val="left" w:pos="720"/>
        </w:tabs>
        <w:spacing w:after="240"/>
        <w:ind w:right="-90"/>
        <w:jc w:val="both"/>
        <w:rPr>
          <w:rFonts w:eastAsia="Cambria" w:cs="Times New Roman"/>
          <w:b/>
          <w:sz w:val="20"/>
          <w:szCs w:val="20"/>
          <w:u w:val="single"/>
          <w:lang w:val="es-ES"/>
        </w:rPr>
      </w:pPr>
      <w:r>
        <w:rPr>
          <w:rFonts w:eastAsia="Cambria" w:cs="Times New Roman"/>
          <w:b/>
          <w:sz w:val="20"/>
          <w:szCs w:val="20"/>
          <w:u w:val="single"/>
          <w:lang w:val="es-ES"/>
        </w:rPr>
        <w:t>Cumplimiento parcial:</w:t>
      </w:r>
    </w:p>
    <w:p w14:paraId="71DBDB11" w14:textId="77777777" w:rsidR="00892017" w:rsidRDefault="00892017" w:rsidP="00892017">
      <w:pPr>
        <w:pStyle w:val="ListParagraph"/>
        <w:numPr>
          <w:ilvl w:val="0"/>
          <w:numId w:val="8"/>
        </w:numPr>
        <w:tabs>
          <w:tab w:val="left" w:pos="720"/>
        </w:tabs>
        <w:spacing w:after="240"/>
        <w:ind w:right="-90"/>
        <w:jc w:val="both"/>
        <w:rPr>
          <w:rFonts w:eastAsia="Cambria" w:cs="Times New Roman"/>
          <w:bCs/>
          <w:sz w:val="20"/>
          <w:szCs w:val="20"/>
          <w:lang w:val="es-ES"/>
        </w:rPr>
      </w:pPr>
      <w:r w:rsidRPr="00D34DE8">
        <w:rPr>
          <w:rFonts w:eastAsia="Cambria" w:cs="Times New Roman"/>
          <w:bCs/>
          <w:sz w:val="20"/>
          <w:szCs w:val="20"/>
          <w:lang w:val="es-ES"/>
        </w:rPr>
        <w:t>Realizar el pago efectivo de las sumas adeudadas a las víctimas por concepto de restitución, en los términos fijados en los párrafos 205 a 209 y 232 a 238 de esta Sentencia.</w:t>
      </w:r>
    </w:p>
    <w:p w14:paraId="1A701E27" w14:textId="77777777" w:rsidR="00892017" w:rsidRDefault="00892017" w:rsidP="00892017">
      <w:pPr>
        <w:tabs>
          <w:tab w:val="left" w:pos="720"/>
        </w:tabs>
        <w:spacing w:after="240"/>
        <w:ind w:right="-90"/>
        <w:jc w:val="both"/>
        <w:rPr>
          <w:rFonts w:eastAsia="Cambria" w:cs="Times New Roman"/>
          <w:bCs/>
          <w:sz w:val="20"/>
          <w:szCs w:val="20"/>
          <w:lang w:val="es-ES"/>
        </w:rPr>
      </w:pPr>
      <w:r>
        <w:rPr>
          <w:rFonts w:eastAsia="Cambria" w:cs="Times New Roman"/>
          <w:bCs/>
          <w:sz w:val="20"/>
          <w:szCs w:val="20"/>
          <w:lang w:val="es-ES"/>
        </w:rPr>
        <w:t>En su Resolución de 26 de junio de 2023, la Corte dispuso lo siguiente:</w:t>
      </w:r>
    </w:p>
    <w:p w14:paraId="5A418520" w14:textId="77777777" w:rsidR="00892017" w:rsidRPr="00D34DE8" w:rsidRDefault="00892017" w:rsidP="00892017">
      <w:pPr>
        <w:tabs>
          <w:tab w:val="left" w:pos="720"/>
        </w:tabs>
        <w:spacing w:after="240"/>
        <w:ind w:left="567" w:right="567"/>
        <w:jc w:val="both"/>
        <w:rPr>
          <w:rFonts w:eastAsia="Cambria" w:cs="Times New Roman"/>
          <w:bCs/>
          <w:sz w:val="18"/>
          <w:szCs w:val="18"/>
          <w:lang w:val="es-ES"/>
        </w:rPr>
      </w:pPr>
      <w:r w:rsidRPr="00D34DE8">
        <w:rPr>
          <w:rFonts w:eastAsia="Cambria" w:cs="Times New Roman"/>
          <w:bCs/>
          <w:sz w:val="18"/>
          <w:szCs w:val="18"/>
          <w:lang w:val="es-ES"/>
        </w:rPr>
        <w:t>En virtud de lo anterior, la Corte considera que Chile ha dado cumplimiento parcial de un 95% a la medida de pago de las sumas adeudadas a las víctimas por concepto de restitución, ordenada en el punto resolutivo cuarto y en los párrafos 205 a 209 y 232 a 238 de la Sentencia, debido a que realizó el pago relativo a 805 víctimas, cuyos nombres se encuentran en el Anexo 1 de esta Resolución, quedando pendiente que remita la información y comprobantes de pago correspondientes a 41 víctimas o sus derechohabientes señaladas en el Anexo 2 de la presente Resolución.</w:t>
      </w:r>
    </w:p>
    <w:p w14:paraId="1E9CF6FE" w14:textId="77777777" w:rsidR="00892017" w:rsidRPr="00D34DE8" w:rsidRDefault="00892017" w:rsidP="00892017">
      <w:pPr>
        <w:pStyle w:val="ListParagraph"/>
        <w:numPr>
          <w:ilvl w:val="0"/>
          <w:numId w:val="8"/>
        </w:numPr>
        <w:tabs>
          <w:tab w:val="left" w:pos="720"/>
        </w:tabs>
        <w:spacing w:after="240"/>
        <w:ind w:right="-90"/>
        <w:jc w:val="both"/>
        <w:rPr>
          <w:rFonts w:eastAsia="Cambria" w:cs="Times New Roman"/>
          <w:bCs/>
          <w:sz w:val="20"/>
          <w:szCs w:val="20"/>
          <w:lang w:val="es-ES"/>
        </w:rPr>
      </w:pPr>
      <w:r w:rsidRPr="00D34DE8">
        <w:rPr>
          <w:rFonts w:eastAsia="Cambria" w:cs="Times New Roman"/>
          <w:bCs/>
          <w:sz w:val="20"/>
          <w:szCs w:val="20"/>
          <w:lang w:val="es-ES"/>
        </w:rPr>
        <w:t>Pagar la cantidad fijada en el párrafo 228 de la presente Sentencia por concepto de indemnización por daño inmaterial, en los términos de los párrafos 232 a 238 del presente Fallo</w:t>
      </w:r>
      <w:r>
        <w:rPr>
          <w:rFonts w:eastAsia="Cambria" w:cs="Times New Roman"/>
          <w:bCs/>
          <w:sz w:val="20"/>
          <w:szCs w:val="20"/>
          <w:lang w:val="es-ES"/>
        </w:rPr>
        <w:t>.</w:t>
      </w:r>
    </w:p>
    <w:p w14:paraId="06BC2400" w14:textId="77777777" w:rsidR="00892017" w:rsidRPr="002E376C" w:rsidRDefault="00892017" w:rsidP="00892017">
      <w:pPr>
        <w:pStyle w:val="ListParagraph"/>
        <w:tabs>
          <w:tab w:val="left" w:pos="720"/>
        </w:tabs>
        <w:ind w:left="0" w:right="-90"/>
        <w:contextualSpacing w:val="0"/>
        <w:rPr>
          <w:rFonts w:eastAsia="Cambria" w:cs="Times New Roman"/>
          <w:bCs/>
          <w:sz w:val="20"/>
          <w:szCs w:val="20"/>
          <w:lang w:val="es-ES"/>
        </w:rPr>
      </w:pPr>
    </w:p>
    <w:p w14:paraId="7ABDD08A" w14:textId="77777777" w:rsidR="00892017" w:rsidRDefault="00892017" w:rsidP="00892017">
      <w:pPr>
        <w:pStyle w:val="ListParagraph"/>
        <w:tabs>
          <w:tab w:val="left" w:pos="720"/>
        </w:tabs>
        <w:ind w:left="0" w:right="-90"/>
        <w:contextualSpacing w:val="0"/>
        <w:jc w:val="both"/>
        <w:rPr>
          <w:rFonts w:eastAsia="Cambria" w:cs="Times New Roman"/>
          <w:bCs/>
          <w:sz w:val="20"/>
          <w:szCs w:val="20"/>
          <w:lang w:val="es-ES"/>
        </w:rPr>
      </w:pPr>
      <w:r w:rsidRPr="00D34DE8">
        <w:rPr>
          <w:rFonts w:eastAsia="Cambria" w:cs="Times New Roman"/>
          <w:bCs/>
          <w:sz w:val="20"/>
          <w:szCs w:val="20"/>
          <w:lang w:val="es-ES"/>
        </w:rPr>
        <w:t>En su Resolución de 26 de junio de 2023, la Corte dispuso lo siguiente:</w:t>
      </w:r>
    </w:p>
    <w:p w14:paraId="5EF63558" w14:textId="77777777" w:rsidR="00892017" w:rsidRDefault="00892017" w:rsidP="00892017">
      <w:pPr>
        <w:pStyle w:val="ListParagraph"/>
        <w:tabs>
          <w:tab w:val="left" w:pos="720"/>
        </w:tabs>
        <w:ind w:left="0" w:right="-90"/>
        <w:contextualSpacing w:val="0"/>
        <w:jc w:val="both"/>
        <w:rPr>
          <w:rFonts w:eastAsia="Cambria" w:cs="Times New Roman"/>
          <w:bCs/>
          <w:sz w:val="20"/>
          <w:szCs w:val="20"/>
          <w:lang w:val="es-ES"/>
        </w:rPr>
      </w:pPr>
    </w:p>
    <w:p w14:paraId="26694A83" w14:textId="77777777" w:rsidR="00892017" w:rsidRPr="00CF7246" w:rsidRDefault="00892017" w:rsidP="00892017">
      <w:pPr>
        <w:tabs>
          <w:tab w:val="left" w:pos="720"/>
        </w:tabs>
        <w:spacing w:after="240"/>
        <w:ind w:left="567" w:right="567"/>
        <w:jc w:val="both"/>
        <w:rPr>
          <w:rFonts w:eastAsia="Cambria" w:cs="Times New Roman"/>
          <w:bCs/>
          <w:sz w:val="20"/>
          <w:szCs w:val="20"/>
          <w:lang w:val="es-ES"/>
        </w:rPr>
      </w:pPr>
      <w:r w:rsidRPr="00D34DE8">
        <w:rPr>
          <w:rFonts w:eastAsia="Cambria" w:cs="Times New Roman"/>
          <w:bCs/>
          <w:sz w:val="20"/>
          <w:szCs w:val="20"/>
          <w:lang w:val="es-ES"/>
        </w:rPr>
        <w:t xml:space="preserve">En razón de lo anterior, la Corte considera que Chile ha dado cumplimiento parcial de un 95% a la medida de pago de la suma ordenada por concepto de indemnización del daño inmaterial, ordenada en el punto resolutivo octavo y en el párrafo 228 de la Sentencia, debido a que realizó el pago relativo a 809 víctimas, cuyos nombres se encuentran en el Anexo 1 de esta </w:t>
      </w:r>
      <w:r w:rsidRPr="00D34DE8">
        <w:rPr>
          <w:rFonts w:eastAsia="Cambria" w:cs="Times New Roman"/>
          <w:bCs/>
          <w:sz w:val="18"/>
          <w:szCs w:val="18"/>
          <w:lang w:val="es-ES"/>
        </w:rPr>
        <w:t>Resolución</w:t>
      </w:r>
      <w:r w:rsidRPr="00D34DE8">
        <w:rPr>
          <w:rFonts w:eastAsia="Cambria" w:cs="Times New Roman"/>
          <w:bCs/>
          <w:sz w:val="20"/>
          <w:szCs w:val="20"/>
          <w:lang w:val="es-ES"/>
        </w:rPr>
        <w:t>, quedando pendiente que remita la información y comprobantes de pago correspondientes a 37 víctimas o sus derechohabientes señaladas en el Anexo 2 de la presente Resolución.</w:t>
      </w:r>
    </w:p>
    <w:p w14:paraId="4889E1B0" w14:textId="77777777" w:rsidR="00750BE1" w:rsidRPr="00F135BC" w:rsidRDefault="00750BE1" w:rsidP="00750BE1">
      <w:pPr>
        <w:pStyle w:val="ListParagraph"/>
        <w:tabs>
          <w:tab w:val="left" w:pos="720"/>
        </w:tabs>
        <w:ind w:left="0" w:right="-90"/>
        <w:contextualSpacing w:val="0"/>
        <w:jc w:val="both"/>
        <w:rPr>
          <w:rFonts w:eastAsia="Cambria" w:cs="Times New Roman"/>
          <w:bCs/>
          <w:sz w:val="20"/>
          <w:szCs w:val="20"/>
          <w:lang w:val="es-ES"/>
        </w:rPr>
      </w:pPr>
    </w:p>
    <w:p w14:paraId="6CA40828" w14:textId="77777777" w:rsidR="002E376C" w:rsidRPr="002E376C" w:rsidRDefault="002E376C" w:rsidP="002E376C">
      <w:pPr>
        <w:pStyle w:val="ListParagraph"/>
        <w:tabs>
          <w:tab w:val="left" w:pos="720"/>
        </w:tabs>
        <w:ind w:left="0" w:right="-90"/>
        <w:contextualSpacing w:val="0"/>
        <w:rPr>
          <w:rFonts w:eastAsia="Cambria" w:cs="Times New Roman"/>
          <w:bCs/>
          <w:sz w:val="20"/>
          <w:szCs w:val="20"/>
          <w:lang w:val="es-ES"/>
        </w:rPr>
      </w:pPr>
    </w:p>
    <w:p w14:paraId="6BD9E3F5" w14:textId="77777777" w:rsidR="00D3440D" w:rsidRPr="00CF7246" w:rsidRDefault="00D3440D" w:rsidP="00CB5BB1">
      <w:pPr>
        <w:pStyle w:val="ListParagraph"/>
        <w:tabs>
          <w:tab w:val="left" w:pos="720"/>
        </w:tabs>
        <w:ind w:left="0" w:right="-90"/>
        <w:contextualSpacing w:val="0"/>
        <w:jc w:val="both"/>
        <w:rPr>
          <w:rFonts w:eastAsia="Cambria" w:cs="Times New Roman"/>
          <w:bCs/>
          <w:sz w:val="20"/>
          <w:szCs w:val="20"/>
          <w:lang w:val="es-ES"/>
        </w:rPr>
      </w:pPr>
    </w:p>
    <w:sectPr w:rsidR="00D3440D" w:rsidRPr="00CF72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60DA" w14:textId="77777777" w:rsidR="00B203AA" w:rsidRDefault="00B203AA" w:rsidP="009F7EF4">
      <w:r>
        <w:separator/>
      </w:r>
    </w:p>
  </w:endnote>
  <w:endnote w:type="continuationSeparator" w:id="0">
    <w:p w14:paraId="3FD2903F" w14:textId="77777777" w:rsidR="00B203AA" w:rsidRDefault="00B203AA"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E870" w14:textId="77777777" w:rsidR="009F7EF4" w:rsidRDefault="009F7EF4" w:rsidP="009F7EF4">
    <w:pPr>
      <w:pStyle w:val="Footer"/>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859F5B2" w14:textId="77777777" w:rsidR="009F7EF4" w:rsidRDefault="009F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FEE7" w14:textId="77777777" w:rsidR="00B203AA" w:rsidRDefault="00B203AA" w:rsidP="009F7EF4">
      <w:r>
        <w:separator/>
      </w:r>
    </w:p>
  </w:footnote>
  <w:footnote w:type="continuationSeparator" w:id="0">
    <w:p w14:paraId="69C38E3D" w14:textId="77777777" w:rsidR="00B203AA" w:rsidRDefault="00B203AA"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589C8966" w14:textId="77777777" w:rsidR="001426AA" w:rsidRPr="00675FE7" w:rsidRDefault="001426AA" w:rsidP="001426AA">
        <w:pPr>
          <w:pStyle w:val="Header"/>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2F4F06">
          <w:rPr>
            <w:noProof/>
            <w:sz w:val="20"/>
            <w:szCs w:val="20"/>
          </w:rPr>
          <w:t>1</w:t>
        </w:r>
        <w:r w:rsidRPr="00675FE7">
          <w:rPr>
            <w:noProof/>
            <w:sz w:val="20"/>
            <w:szCs w:val="20"/>
          </w:rPr>
          <w:fldChar w:fldCharType="end"/>
        </w:r>
      </w:p>
    </w:sdtContent>
  </w:sdt>
  <w:p w14:paraId="08500379" w14:textId="77777777" w:rsidR="001426AA" w:rsidRDefault="00142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AFC1D2F"/>
    <w:multiLevelType w:val="hybridMultilevel"/>
    <w:tmpl w:val="089C8584"/>
    <w:lvl w:ilvl="0" w:tplc="8FE4B376">
      <w:start w:val="1"/>
      <w:numFmt w:val="decimal"/>
      <w:lvlText w:val="%1."/>
      <w:lvlJc w:val="left"/>
      <w:pPr>
        <w:ind w:left="360" w:hanging="360"/>
      </w:pPr>
      <w:rPr>
        <w:b w:val="0"/>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599842">
    <w:abstractNumId w:val="7"/>
  </w:num>
  <w:num w:numId="2" w16cid:durableId="1868761429">
    <w:abstractNumId w:val="3"/>
  </w:num>
  <w:num w:numId="3" w16cid:durableId="127360338">
    <w:abstractNumId w:val="6"/>
  </w:num>
  <w:num w:numId="4" w16cid:durableId="1462117692">
    <w:abstractNumId w:val="0"/>
  </w:num>
  <w:num w:numId="5" w16cid:durableId="2135706896">
    <w:abstractNumId w:val="2"/>
  </w:num>
  <w:num w:numId="6" w16cid:durableId="1299725316">
    <w:abstractNumId w:val="4"/>
  </w:num>
  <w:num w:numId="7" w16cid:durableId="1474371253">
    <w:abstractNumId w:val="5"/>
  </w:num>
  <w:num w:numId="8" w16cid:durableId="66061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101CC6"/>
    <w:rsid w:val="0010345B"/>
    <w:rsid w:val="001426AA"/>
    <w:rsid w:val="00296F77"/>
    <w:rsid w:val="002B3295"/>
    <w:rsid w:val="002E376C"/>
    <w:rsid w:val="002F4F06"/>
    <w:rsid w:val="003A5A68"/>
    <w:rsid w:val="003A7E5E"/>
    <w:rsid w:val="003C561A"/>
    <w:rsid w:val="004458A1"/>
    <w:rsid w:val="00474D04"/>
    <w:rsid w:val="00476F6E"/>
    <w:rsid w:val="004F770B"/>
    <w:rsid w:val="005A203D"/>
    <w:rsid w:val="005D1A85"/>
    <w:rsid w:val="00617B3E"/>
    <w:rsid w:val="006A777A"/>
    <w:rsid w:val="006C38A6"/>
    <w:rsid w:val="00750BE1"/>
    <w:rsid w:val="00792165"/>
    <w:rsid w:val="00834F1A"/>
    <w:rsid w:val="00892017"/>
    <w:rsid w:val="008C0B61"/>
    <w:rsid w:val="008C1FD0"/>
    <w:rsid w:val="008C63A9"/>
    <w:rsid w:val="00926FFB"/>
    <w:rsid w:val="009832C0"/>
    <w:rsid w:val="009D22BE"/>
    <w:rsid w:val="009F7EF4"/>
    <w:rsid w:val="00A32CF6"/>
    <w:rsid w:val="00AB2467"/>
    <w:rsid w:val="00AE0035"/>
    <w:rsid w:val="00B11B9B"/>
    <w:rsid w:val="00B203AA"/>
    <w:rsid w:val="00B32A37"/>
    <w:rsid w:val="00B33305"/>
    <w:rsid w:val="00BA6BA9"/>
    <w:rsid w:val="00BC5824"/>
    <w:rsid w:val="00C4747D"/>
    <w:rsid w:val="00C807CF"/>
    <w:rsid w:val="00CB5BB1"/>
    <w:rsid w:val="00CF7246"/>
    <w:rsid w:val="00D3440D"/>
    <w:rsid w:val="00D360F2"/>
    <w:rsid w:val="00E210BA"/>
    <w:rsid w:val="00E217FA"/>
    <w:rsid w:val="00E42392"/>
    <w:rsid w:val="00E85D9E"/>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40CA"/>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F4"/>
    <w:pPr>
      <w:tabs>
        <w:tab w:val="center" w:pos="4680"/>
        <w:tab w:val="right" w:pos="9360"/>
      </w:tabs>
    </w:pPr>
  </w:style>
  <w:style w:type="character" w:customStyle="1" w:styleId="HeaderChar">
    <w:name w:val="Header Char"/>
    <w:basedOn w:val="DefaultParagraphFont"/>
    <w:link w:val="Header"/>
    <w:uiPriority w:val="99"/>
    <w:rsid w:val="009F7EF4"/>
    <w:rPr>
      <w:rFonts w:ascii="Verdana" w:eastAsia="Batang" w:hAnsi="Verdana" w:cs="Times"/>
      <w:sz w:val="16"/>
      <w:szCs w:val="24"/>
      <w:lang w:val="es-ES_tradnl"/>
    </w:rPr>
  </w:style>
  <w:style w:type="paragraph" w:styleId="Footer">
    <w:name w:val="footer"/>
    <w:basedOn w:val="Normal"/>
    <w:link w:val="FooterChar"/>
    <w:uiPriority w:val="99"/>
    <w:unhideWhenUsed/>
    <w:rsid w:val="009F7EF4"/>
    <w:pPr>
      <w:tabs>
        <w:tab w:val="center" w:pos="4680"/>
        <w:tab w:val="right" w:pos="9360"/>
      </w:tabs>
    </w:pPr>
  </w:style>
  <w:style w:type="character" w:customStyle="1" w:styleId="FooterChar">
    <w:name w:val="Footer Char"/>
    <w:basedOn w:val="DefaultParagraphFont"/>
    <w:link w:val="Footer"/>
    <w:uiPriority w:val="99"/>
    <w:rsid w:val="009F7EF4"/>
    <w:rPr>
      <w:rFonts w:ascii="Verdana" w:eastAsia="Batang" w:hAnsi="Verdana" w:cs="Times"/>
      <w:sz w:val="16"/>
      <w:szCs w:val="24"/>
      <w:lang w:val="es-ES_tradnl"/>
    </w:rPr>
  </w:style>
  <w:style w:type="character" w:customStyle="1" w:styleId="apple-style-span">
    <w:name w:val="apple-style-span"/>
    <w:basedOn w:val="DefaultParagraphFont"/>
    <w:rsid w:val="009F7EF4"/>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296F77"/>
    <w:pPr>
      <w:ind w:left="720"/>
      <w:contextualSpacing/>
    </w:p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BC5824"/>
    <w:rPr>
      <w:rFonts w:ascii="Verdana" w:eastAsia="Batang" w:hAnsi="Verdana" w:cs="Times"/>
      <w:sz w:val="16"/>
      <w:szCs w:val="24"/>
      <w:lang w:val="es-ES_tradnl"/>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qFormat/>
    <w:rsid w:val="00926FFB"/>
    <w:pPr>
      <w:jc w:val="both"/>
    </w:pPr>
    <w:rPr>
      <w:rFonts w:eastAsia="Times" w:cs="Times New Roman"/>
      <w:szCs w:val="20"/>
      <w:lang w:val="en-US"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926FFB"/>
    <w:rPr>
      <w:rFonts w:ascii="Verdana" w:eastAsia="Times" w:hAnsi="Verdana" w:cs="Times New Roman"/>
      <w:sz w:val="16"/>
      <w:szCs w:val="20"/>
      <w:lang w:eastAsia="x-none"/>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1754</Characters>
  <Application>Microsoft Office Word</Application>
  <DocSecurity>0</DocSecurity>
  <Lines>35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Adolfo Lara</cp:lastModifiedBy>
  <cp:revision>3</cp:revision>
  <cp:lastPrinted>2018-07-09T19:23:00Z</cp:lastPrinted>
  <dcterms:created xsi:type="dcterms:W3CDTF">2023-01-31T15:53:00Z</dcterms:created>
  <dcterms:modified xsi:type="dcterms:W3CDTF">2023-09-01T18:07:00Z</dcterms:modified>
</cp:coreProperties>
</file>